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9E7E8" w14:textId="0662D248" w:rsidR="00A66B18" w:rsidRPr="00BA60D8" w:rsidRDefault="00A66B18" w:rsidP="00BA60D8">
      <w:pPr>
        <w:pStyle w:val="Signature"/>
        <w:rPr>
          <w:rFonts w:ascii="Georgia" w:hAnsi="Georgia"/>
          <w:color w:val="000000" w:themeColor="text1"/>
        </w:rPr>
      </w:pPr>
    </w:p>
    <w:p w14:paraId="1829C5C3" w14:textId="4306DCB2" w:rsidR="00BA60D8" w:rsidRPr="00BA60D8" w:rsidRDefault="00BA60D8" w:rsidP="00BA60D8">
      <w:pPr>
        <w:pStyle w:val="Signature"/>
        <w:rPr>
          <w:rFonts w:ascii="Georgia" w:hAnsi="Georgia"/>
          <w:color w:val="000000" w:themeColor="text1"/>
        </w:rPr>
      </w:pPr>
    </w:p>
    <w:p w14:paraId="682F3B82" w14:textId="4E506FB2" w:rsidR="00BA60D8" w:rsidRPr="00BA60D8" w:rsidRDefault="006D213B" w:rsidP="00BA60D8">
      <w:pPr>
        <w:pStyle w:val="Title"/>
        <w:ind w:left="0"/>
      </w:pPr>
      <w:r>
        <w:t xml:space="preserve">Phase 1. </w:t>
      </w:r>
      <w:r w:rsidR="00BA60D8">
        <w:t>2:</w:t>
      </w:r>
      <w:r w:rsidR="00BA60D8" w:rsidRPr="00BA60D8">
        <w:t xml:space="preserve"> Programme Approach </w:t>
      </w:r>
    </w:p>
    <w:p w14:paraId="619019E8" w14:textId="77777777" w:rsidR="00BA60D8" w:rsidRDefault="00BA60D8" w:rsidP="00BA60D8">
      <w:pPr>
        <w:pStyle w:val="Heading1"/>
        <w:ind w:left="0"/>
        <w:rPr>
          <w:color w:val="009DD9" w:themeColor="accent2"/>
        </w:rPr>
      </w:pPr>
    </w:p>
    <w:p w14:paraId="189A7E9D" w14:textId="703ED463" w:rsidR="00BA60D8" w:rsidRPr="00627467" w:rsidRDefault="00BA60D8" w:rsidP="00627467">
      <w:pPr>
        <w:pStyle w:val="Heading2"/>
        <w:rPr>
          <w:color w:val="009DD9" w:themeColor="accent2"/>
        </w:rPr>
      </w:pPr>
      <w:r w:rsidRPr="00627467">
        <w:rPr>
          <w:color w:val="009DD9" w:themeColor="accent2"/>
        </w:rPr>
        <w:t>Guidance Notes</w:t>
      </w:r>
    </w:p>
    <w:p w14:paraId="46E7FE5D" w14:textId="6997AC65" w:rsidR="00BA60D8" w:rsidRDefault="00BA60D8" w:rsidP="008320FB">
      <w:r>
        <w:t xml:space="preserve">This </w:t>
      </w:r>
      <w:r w:rsidR="006D213B">
        <w:t>phase</w:t>
      </w:r>
      <w:r>
        <w:t xml:space="preserve"> is designed to</w:t>
      </w:r>
      <w:r w:rsidR="00027D4C">
        <w:t xml:space="preserve"> support you to</w:t>
      </w:r>
      <w:r>
        <w:t xml:space="preserve"> develop the Teaching &amp; Learning approach the Programme team will use to convert </w:t>
      </w:r>
      <w:r w:rsidR="00027D4C">
        <w:t>module(s)</w:t>
      </w:r>
      <w:r>
        <w:t xml:space="preserve"> to a</w:t>
      </w:r>
      <w:r w:rsidR="00027D4C">
        <w:t>n</w:t>
      </w:r>
      <w:r>
        <w:t xml:space="preserve"> </w:t>
      </w:r>
      <w:r w:rsidR="00027D4C">
        <w:t>active blended learning format</w:t>
      </w:r>
      <w:r w:rsidR="003C0264">
        <w:t>.</w:t>
      </w:r>
    </w:p>
    <w:p w14:paraId="121C8075" w14:textId="54BF41DE" w:rsidR="001B28EE" w:rsidRDefault="00BA60D8" w:rsidP="001B28EE">
      <w:r w:rsidRPr="00BA60D8">
        <w:rPr>
          <w:rStyle w:val="Heading2Char"/>
          <w:color w:val="009DD9" w:themeColor="accent2"/>
        </w:rPr>
        <w:t>Output:</w:t>
      </w:r>
      <w:r w:rsidRPr="00BA60D8">
        <w:rPr>
          <w:color w:val="009DD9" w:themeColor="accent2"/>
        </w:rPr>
        <w:t xml:space="preserve"> </w:t>
      </w:r>
      <w:r w:rsidR="001B28EE" w:rsidRPr="001B28EE">
        <w:t>A</w:t>
      </w:r>
      <w:r w:rsidRPr="001B28EE">
        <w:t xml:space="preserve"> draft high-level </w:t>
      </w:r>
      <w:r w:rsidR="006D213B" w:rsidRPr="001B28EE">
        <w:t>appro</w:t>
      </w:r>
      <w:r w:rsidR="006D213B">
        <w:t>a</w:t>
      </w:r>
      <w:r w:rsidR="006D213B" w:rsidRPr="001B28EE">
        <w:t>ch</w:t>
      </w:r>
      <w:r w:rsidRPr="001B28EE">
        <w:t xml:space="preserve"> for your Programme to then trial on a single module</w:t>
      </w:r>
    </w:p>
    <w:p w14:paraId="22EC8584" w14:textId="2F7BA09B" w:rsidR="001B28EE" w:rsidRPr="001B28EE" w:rsidRDefault="001B28EE" w:rsidP="001B28EE">
      <w:r w:rsidRPr="00BA60D8">
        <w:rPr>
          <w:rStyle w:val="Heading2Char"/>
          <w:color w:val="009DD9" w:themeColor="accent2"/>
        </w:rPr>
        <w:t>Output:</w:t>
      </w:r>
      <w:r w:rsidRPr="00BA60D8">
        <w:rPr>
          <w:color w:val="009DD9" w:themeColor="accent2"/>
        </w:rPr>
        <w:t xml:space="preserve"> </w:t>
      </w:r>
      <w:r w:rsidR="003C0264">
        <w:t xml:space="preserve">Identify </w:t>
      </w:r>
      <w:r w:rsidR="007C3B0E">
        <w:t>pilot module</w:t>
      </w:r>
    </w:p>
    <w:p w14:paraId="5FEF2EB2" w14:textId="76C6F629" w:rsidR="00BA60D8" w:rsidRDefault="00627467" w:rsidP="00627467">
      <w:pPr>
        <w:pStyle w:val="Heading2"/>
      </w:pPr>
      <w:r>
        <w:rPr>
          <w:color w:val="009DD9" w:themeColor="accent2"/>
        </w:rPr>
        <w:t>Set up</w:t>
      </w:r>
    </w:p>
    <w:p w14:paraId="1E06BD17" w14:textId="78F5C20E" w:rsidR="00BA60D8" w:rsidRDefault="00BA60D8" w:rsidP="00627467">
      <w:r>
        <w:t>This meeting will be run by DOTL/PL, one for each individual Programme.</w:t>
      </w:r>
      <w:r w:rsidR="00627467">
        <w:t xml:space="preserve"> It is recommended to invite 6-8 key members for your meeting, and, if possible, the digital lead for the school. </w:t>
      </w:r>
    </w:p>
    <w:p w14:paraId="520DBABF" w14:textId="486706F5" w:rsidR="00627467" w:rsidRDefault="00627467" w:rsidP="00627467">
      <w:r w:rsidRPr="00627467">
        <w:rPr>
          <w:b/>
          <w:bCs/>
        </w:rPr>
        <w:t>Timings:</w:t>
      </w:r>
      <w:r>
        <w:t xml:space="preserve"> 1.5 hours meeting</w:t>
      </w:r>
    </w:p>
    <w:p w14:paraId="3382B554" w14:textId="34CD246A" w:rsidR="00627467" w:rsidRDefault="00627467" w:rsidP="00627467">
      <w:r>
        <w:rPr>
          <w:b/>
          <w:bCs/>
        </w:rPr>
        <w:t>P</w:t>
      </w:r>
      <w:r w:rsidRPr="00627467">
        <w:rPr>
          <w:b/>
          <w:bCs/>
        </w:rPr>
        <w:t>latform</w:t>
      </w:r>
      <w:r>
        <w:rPr>
          <w:b/>
          <w:bCs/>
        </w:rPr>
        <w:t>:</w:t>
      </w:r>
      <w:r>
        <w:t xml:space="preserve"> Teams</w:t>
      </w:r>
    </w:p>
    <w:p w14:paraId="3E4066DA" w14:textId="77777777" w:rsidR="00A8386A" w:rsidRDefault="00627467" w:rsidP="00627467">
      <w:r w:rsidRPr="00627467">
        <w:rPr>
          <w:b/>
          <w:bCs/>
        </w:rPr>
        <w:t>Resources:</w:t>
      </w:r>
      <w:r>
        <w:t xml:space="preserve"> </w:t>
      </w:r>
    </w:p>
    <w:p w14:paraId="2458716E" w14:textId="645F7CB7" w:rsidR="00627467" w:rsidRDefault="00627467" w:rsidP="00627467">
      <w:r>
        <w:t>Click here to access the PowerPoint you can adapt for this session.</w:t>
      </w:r>
    </w:p>
    <w:p w14:paraId="6D0ABFDE" w14:textId="1850556A" w:rsidR="00A8386A" w:rsidRDefault="00A8386A" w:rsidP="00627467">
      <w:r>
        <w:rPr>
          <w:b/>
          <w:bCs/>
        </w:rPr>
        <w:t xml:space="preserve">It is recommended to share the Teaching and Learning Strategy with your </w:t>
      </w:r>
      <w:r w:rsidR="008320FB">
        <w:rPr>
          <w:b/>
          <w:bCs/>
        </w:rPr>
        <w:t>Programme</w:t>
      </w:r>
      <w:r>
        <w:rPr>
          <w:b/>
          <w:bCs/>
        </w:rPr>
        <w:t xml:space="preserve"> team</w:t>
      </w:r>
      <w:r w:rsidR="00546592">
        <w:rPr>
          <w:b/>
          <w:bCs/>
        </w:rPr>
        <w:t xml:space="preserve"> before the meeting</w:t>
      </w:r>
      <w:r>
        <w:rPr>
          <w:b/>
          <w:bCs/>
        </w:rPr>
        <w:t xml:space="preserve">. </w:t>
      </w:r>
      <w:r>
        <w:t>Click here to access the documentation</w:t>
      </w:r>
      <w:r>
        <w:rPr>
          <w:b/>
          <w:bCs/>
        </w:rPr>
        <w:tab/>
      </w:r>
      <w:r>
        <w:rPr>
          <w:b/>
          <w:bCs/>
        </w:rPr>
        <w:tab/>
      </w:r>
    </w:p>
    <w:p w14:paraId="1178BEB1" w14:textId="1892570A" w:rsidR="00627467" w:rsidRDefault="00627467" w:rsidP="00627467">
      <w:pPr>
        <w:pStyle w:val="Heading2"/>
      </w:pPr>
    </w:p>
    <w:p w14:paraId="4121E796" w14:textId="4CBE2DDF" w:rsidR="00627467" w:rsidRDefault="00627467" w:rsidP="00627467"/>
    <w:p w14:paraId="36F2AFAF" w14:textId="174AA717" w:rsidR="00627467" w:rsidRDefault="00627467" w:rsidP="00627467"/>
    <w:p w14:paraId="25F8E105" w14:textId="57DD311D" w:rsidR="00627467" w:rsidRDefault="00627467" w:rsidP="00627467"/>
    <w:p w14:paraId="5BB21D7E" w14:textId="5B22638E" w:rsidR="00627467" w:rsidRDefault="00627467" w:rsidP="00627467"/>
    <w:p w14:paraId="5152374B" w14:textId="5A2029FC" w:rsidR="00627467" w:rsidRDefault="00627467" w:rsidP="00627467"/>
    <w:p w14:paraId="1EF79E69" w14:textId="1C84F145" w:rsidR="00627467" w:rsidRDefault="00627467" w:rsidP="00627467"/>
    <w:p w14:paraId="631A541C" w14:textId="77777777" w:rsidR="00CA4103" w:rsidRDefault="00CA4103" w:rsidP="00A8386A">
      <w:pPr>
        <w:pStyle w:val="Heading1"/>
      </w:pPr>
    </w:p>
    <w:p w14:paraId="3EA82194" w14:textId="77777777" w:rsidR="003767ED" w:rsidRDefault="003767ED" w:rsidP="003767ED"/>
    <w:p w14:paraId="1CF88C74" w14:textId="77777777" w:rsidR="003767ED" w:rsidRDefault="003767ED" w:rsidP="003767ED"/>
    <w:p w14:paraId="7AE10DC4" w14:textId="06310F11" w:rsidR="00627467" w:rsidRPr="00BA60D8" w:rsidRDefault="00A8386A" w:rsidP="00A8386A">
      <w:pPr>
        <w:pStyle w:val="Heading1"/>
      </w:pPr>
      <w:r>
        <w:t>G</w:t>
      </w:r>
      <w:r w:rsidR="00627467">
        <w:t>uided discussion</w:t>
      </w:r>
    </w:p>
    <w:p w14:paraId="150180E6" w14:textId="3F2E911B" w:rsidR="00627467" w:rsidRPr="00CF03BD" w:rsidRDefault="00A8386A" w:rsidP="00A8386A">
      <w:pPr>
        <w:pStyle w:val="Heading2"/>
        <w:rPr>
          <w:color w:val="009DD9" w:themeColor="accent2"/>
        </w:rPr>
      </w:pPr>
      <w:r w:rsidRPr="00CF03BD">
        <w:rPr>
          <w:color w:val="009DD9" w:themeColor="accent2"/>
        </w:rPr>
        <w:t xml:space="preserve">Slide 2 </w:t>
      </w:r>
    </w:p>
    <w:p w14:paraId="2FC021BC" w14:textId="05BA4B1A" w:rsidR="00A8386A" w:rsidRDefault="00A8386A" w:rsidP="00627467">
      <w:r>
        <w:t xml:space="preserve">These slides explain the </w:t>
      </w:r>
      <w:r w:rsidR="00D84A90">
        <w:t>phases</w:t>
      </w:r>
      <w:r>
        <w:t xml:space="preserve"> of the adapt process. You are currently on</w:t>
      </w:r>
      <w:r w:rsidR="00D84A90">
        <w:t xml:space="preserve"> phase 1.2</w:t>
      </w:r>
    </w:p>
    <w:p w14:paraId="62858043" w14:textId="067F4262" w:rsidR="00D84A90" w:rsidRPr="00D84A90" w:rsidRDefault="003767ED" w:rsidP="00D84A90">
      <w:pPr>
        <w:pStyle w:val="Heading2"/>
        <w:rPr>
          <w:color w:val="009DD9" w:themeColor="accent2"/>
        </w:rPr>
      </w:pPr>
      <w:r w:rsidRPr="00D84A90">
        <w:rPr>
          <w:color w:val="009DD9" w:themeColor="accent2"/>
        </w:rPr>
        <w:t>Slide 3</w:t>
      </w:r>
    </w:p>
    <w:p w14:paraId="56DFCB42" w14:textId="7680201E" w:rsidR="00D84A90" w:rsidRDefault="00D84A90" w:rsidP="00D84A90">
      <w:r>
        <w:t>This slide gives an outline of the session</w:t>
      </w:r>
    </w:p>
    <w:p w14:paraId="5357BC9F" w14:textId="128271E2" w:rsidR="00A8386A" w:rsidRPr="00CF03BD" w:rsidRDefault="00A8386A" w:rsidP="00A8386A">
      <w:pPr>
        <w:pStyle w:val="Heading2"/>
        <w:rPr>
          <w:color w:val="009DD9" w:themeColor="accent2"/>
        </w:rPr>
      </w:pPr>
      <w:r w:rsidRPr="00CF03BD">
        <w:rPr>
          <w:color w:val="009DD9" w:themeColor="accent2"/>
        </w:rPr>
        <w:t xml:space="preserve">Slides </w:t>
      </w:r>
      <w:r w:rsidR="006D213B">
        <w:rPr>
          <w:color w:val="009DD9" w:themeColor="accent2"/>
        </w:rPr>
        <w:t>4</w:t>
      </w:r>
      <w:r w:rsidRPr="00CF03BD">
        <w:rPr>
          <w:color w:val="009DD9" w:themeColor="accent2"/>
        </w:rPr>
        <w:t xml:space="preserve"> – </w:t>
      </w:r>
      <w:r w:rsidR="006D213B">
        <w:rPr>
          <w:color w:val="009DD9" w:themeColor="accent2"/>
        </w:rPr>
        <w:t>9</w:t>
      </w:r>
    </w:p>
    <w:p w14:paraId="1607FA2B" w14:textId="064EDE7E" w:rsidR="00A8386A" w:rsidRPr="00A8386A" w:rsidRDefault="00A8386A" w:rsidP="00A8386A">
      <w:r w:rsidRPr="00A8386A">
        <w:t>This explains the ENABLE approach. It is based around the five core principles</w:t>
      </w:r>
      <w:r>
        <w:t xml:space="preserve"> that are important to think about when designing your approach. </w:t>
      </w:r>
    </w:p>
    <w:p w14:paraId="0000D01B" w14:textId="06331D4A" w:rsidR="00A8386A" w:rsidRDefault="00A8386A" w:rsidP="00A8386A">
      <w:pPr>
        <w:pStyle w:val="ListParagraph"/>
        <w:numPr>
          <w:ilvl w:val="0"/>
          <w:numId w:val="2"/>
        </w:numPr>
        <w:rPr>
          <w:b/>
          <w:bCs/>
        </w:rPr>
      </w:pPr>
      <w:r>
        <w:rPr>
          <w:b/>
          <w:bCs/>
        </w:rPr>
        <w:t xml:space="preserve">Agility </w:t>
      </w:r>
    </w:p>
    <w:p w14:paraId="71F75B26" w14:textId="68C929F8" w:rsidR="00A8386A" w:rsidRDefault="00A8386A" w:rsidP="00A8386A">
      <w:pPr>
        <w:pStyle w:val="ListParagraph"/>
        <w:numPr>
          <w:ilvl w:val="0"/>
          <w:numId w:val="2"/>
        </w:numPr>
        <w:rPr>
          <w:b/>
          <w:bCs/>
        </w:rPr>
      </w:pPr>
      <w:r>
        <w:rPr>
          <w:b/>
          <w:bCs/>
        </w:rPr>
        <w:t>Timetables &amp; Schedules</w:t>
      </w:r>
    </w:p>
    <w:p w14:paraId="085C0722" w14:textId="71159A98" w:rsidR="00A8386A" w:rsidRDefault="00A8386A" w:rsidP="00A8386A">
      <w:pPr>
        <w:pStyle w:val="ListParagraph"/>
        <w:numPr>
          <w:ilvl w:val="0"/>
          <w:numId w:val="2"/>
        </w:numPr>
        <w:rPr>
          <w:b/>
          <w:bCs/>
        </w:rPr>
      </w:pPr>
      <w:r>
        <w:rPr>
          <w:b/>
          <w:bCs/>
        </w:rPr>
        <w:t>Make Every Contact Count</w:t>
      </w:r>
    </w:p>
    <w:p w14:paraId="64D89E25" w14:textId="31C14B31" w:rsidR="00A8386A" w:rsidRDefault="00A8386A" w:rsidP="00A8386A">
      <w:pPr>
        <w:pStyle w:val="ListParagraph"/>
        <w:numPr>
          <w:ilvl w:val="0"/>
          <w:numId w:val="2"/>
        </w:numPr>
        <w:rPr>
          <w:b/>
          <w:bCs/>
        </w:rPr>
      </w:pPr>
      <w:r>
        <w:rPr>
          <w:b/>
          <w:bCs/>
        </w:rPr>
        <w:t>Consistency, Clarity and Coherence</w:t>
      </w:r>
    </w:p>
    <w:p w14:paraId="5F6E70A3" w14:textId="51E08859" w:rsidR="00A8386A" w:rsidRDefault="00A8386A" w:rsidP="00A8386A">
      <w:pPr>
        <w:pStyle w:val="ListParagraph"/>
        <w:numPr>
          <w:ilvl w:val="0"/>
          <w:numId w:val="2"/>
        </w:numPr>
        <w:rPr>
          <w:b/>
          <w:bCs/>
        </w:rPr>
      </w:pPr>
      <w:r>
        <w:rPr>
          <w:b/>
          <w:bCs/>
        </w:rPr>
        <w:t xml:space="preserve">One </w:t>
      </w:r>
      <w:r w:rsidR="003767ED">
        <w:rPr>
          <w:b/>
          <w:bCs/>
        </w:rPr>
        <w:t>Community:</w:t>
      </w:r>
      <w:r>
        <w:rPr>
          <w:b/>
          <w:bCs/>
        </w:rPr>
        <w:t xml:space="preserve"> A New Era</w:t>
      </w:r>
    </w:p>
    <w:p w14:paraId="09D42EE7" w14:textId="09DE044B" w:rsidR="00A8386A" w:rsidRDefault="00A8386A" w:rsidP="00A8386A">
      <w:r>
        <w:t>These are described</w:t>
      </w:r>
      <w:r w:rsidR="002761C0">
        <w:t xml:space="preserve"> in more detail</w:t>
      </w:r>
      <w:r>
        <w:t xml:space="preserve"> on the slide. </w:t>
      </w:r>
    </w:p>
    <w:p w14:paraId="7E8496AF" w14:textId="6090132C" w:rsidR="00A8386A" w:rsidRPr="00CF03BD" w:rsidRDefault="00A8386A" w:rsidP="00A8386A">
      <w:pPr>
        <w:pStyle w:val="Heading2"/>
        <w:rPr>
          <w:color w:val="009DD9" w:themeColor="accent2"/>
        </w:rPr>
      </w:pPr>
      <w:r w:rsidRPr="00CF03BD">
        <w:rPr>
          <w:color w:val="009DD9" w:themeColor="accent2"/>
        </w:rPr>
        <w:t xml:space="preserve">Slide </w:t>
      </w:r>
      <w:r w:rsidR="00D917AC" w:rsidRPr="00CF03BD">
        <w:rPr>
          <w:color w:val="009DD9" w:themeColor="accent2"/>
        </w:rPr>
        <w:t>9</w:t>
      </w:r>
    </w:p>
    <w:p w14:paraId="0A0320BB" w14:textId="42B5FB90" w:rsidR="00A8386A" w:rsidRDefault="00A8386A" w:rsidP="00A8386A">
      <w:r>
        <w:t xml:space="preserve">This slide look at the Blended Approach for Teaching &amp; Learning.  This is another element that is important to think about when designing your approach. </w:t>
      </w:r>
    </w:p>
    <w:p w14:paraId="5A80A11F" w14:textId="08340064" w:rsidR="00A8386A" w:rsidRPr="00CF03BD" w:rsidRDefault="00A8386A" w:rsidP="00A8386A">
      <w:pPr>
        <w:pStyle w:val="Heading2"/>
        <w:rPr>
          <w:color w:val="009DD9" w:themeColor="accent2"/>
        </w:rPr>
      </w:pPr>
      <w:r w:rsidRPr="00CF03BD">
        <w:rPr>
          <w:color w:val="009DD9" w:themeColor="accent2"/>
        </w:rPr>
        <w:t>Slides 1</w:t>
      </w:r>
      <w:r w:rsidR="00D917AC" w:rsidRPr="00CF03BD">
        <w:rPr>
          <w:color w:val="009DD9" w:themeColor="accent2"/>
        </w:rPr>
        <w:t>0</w:t>
      </w:r>
      <w:r w:rsidRPr="00CF03BD">
        <w:rPr>
          <w:color w:val="009DD9" w:themeColor="accent2"/>
        </w:rPr>
        <w:t xml:space="preserve"> – 1</w:t>
      </w:r>
      <w:r w:rsidR="00D917AC" w:rsidRPr="00CF03BD">
        <w:rPr>
          <w:color w:val="009DD9" w:themeColor="accent2"/>
        </w:rPr>
        <w:t>2</w:t>
      </w:r>
      <w:r w:rsidR="00E30BEF" w:rsidRPr="00CF03BD">
        <w:rPr>
          <w:color w:val="009DD9" w:themeColor="accent2"/>
        </w:rPr>
        <w:t xml:space="preserve"> (Editing is needed)</w:t>
      </w:r>
    </w:p>
    <w:p w14:paraId="30766BE4" w14:textId="7A77A91A" w:rsidR="00A8386A" w:rsidRDefault="00A8386A" w:rsidP="00A8386A">
      <w:r>
        <w:t xml:space="preserve">These next three slides look at the data that was collected from your Programme team. You can use this template to add in your teams’ responses. We recommend using generalized and anonymous feedback </w:t>
      </w:r>
    </w:p>
    <w:p w14:paraId="5B9F457A" w14:textId="6CC7C235" w:rsidR="00A8386A" w:rsidRDefault="00A8386A" w:rsidP="00A8386A">
      <w:r>
        <w:t xml:space="preserve">When facilitating the </w:t>
      </w:r>
      <w:r w:rsidR="00CF03BD">
        <w:t>session,</w:t>
      </w:r>
      <w:r>
        <w:t xml:space="preserve"> we recommend utilizing these three slides as a key period to discuss </w:t>
      </w:r>
      <w:r w:rsidR="00E30BEF">
        <w:t xml:space="preserve">with colleagues about the </w:t>
      </w:r>
      <w:r w:rsidR="003767ED">
        <w:t>team’s</w:t>
      </w:r>
      <w:r w:rsidR="00E30BEF">
        <w:t xml:space="preserve"> responses in more depth if needed. </w:t>
      </w:r>
    </w:p>
    <w:p w14:paraId="134466A2" w14:textId="5B261297" w:rsidR="00E30BEF" w:rsidRDefault="00E30BEF" w:rsidP="00E30BEF">
      <w:pPr>
        <w:pStyle w:val="Heading2"/>
      </w:pPr>
      <w:r>
        <w:t>Key Questions</w:t>
      </w:r>
    </w:p>
    <w:p w14:paraId="5EA3FF26" w14:textId="2B5B4FE2" w:rsidR="00E30BEF" w:rsidRDefault="00E30BEF" w:rsidP="00E30BEF">
      <w:pPr>
        <w:pStyle w:val="ListParagraph"/>
        <w:numPr>
          <w:ilvl w:val="0"/>
          <w:numId w:val="3"/>
        </w:numPr>
      </w:pPr>
      <w:r>
        <w:t>What learning methods/tools worked well when moving online? Why?</w:t>
      </w:r>
    </w:p>
    <w:p w14:paraId="691465C5" w14:textId="42A2DA62" w:rsidR="00E30BEF" w:rsidRDefault="00E30BEF" w:rsidP="00E30BEF">
      <w:pPr>
        <w:pStyle w:val="ListParagraph"/>
        <w:numPr>
          <w:ilvl w:val="0"/>
          <w:numId w:val="3"/>
        </w:numPr>
      </w:pPr>
      <w:r>
        <w:t>What were the main learning methods/tools that were unsuccessful when moving online? Why?</w:t>
      </w:r>
    </w:p>
    <w:p w14:paraId="7CA0C8C6" w14:textId="6E934121" w:rsidR="00E30BEF" w:rsidRDefault="00E30BEF" w:rsidP="00E30BEF">
      <w:pPr>
        <w:pStyle w:val="ListParagraph"/>
        <w:numPr>
          <w:ilvl w:val="0"/>
          <w:numId w:val="3"/>
        </w:numPr>
      </w:pPr>
      <w:r>
        <w:t>Did this impact the learning outcomes?</w:t>
      </w:r>
    </w:p>
    <w:p w14:paraId="22368620" w14:textId="07E0426E" w:rsidR="00E30BEF" w:rsidRDefault="00E30BEF" w:rsidP="00E30BEF">
      <w:pPr>
        <w:pStyle w:val="ListParagraph"/>
        <w:numPr>
          <w:ilvl w:val="0"/>
          <w:numId w:val="3"/>
        </w:numPr>
      </w:pPr>
      <w:r>
        <w:t>What challenges did you have?</w:t>
      </w:r>
    </w:p>
    <w:p w14:paraId="41611F2C" w14:textId="152613B6" w:rsidR="00E30BEF" w:rsidRDefault="00E30BEF" w:rsidP="00E30BEF">
      <w:pPr>
        <w:pStyle w:val="ListParagraph"/>
        <w:numPr>
          <w:ilvl w:val="0"/>
          <w:numId w:val="3"/>
        </w:numPr>
      </w:pPr>
      <w:r>
        <w:t>What changes will need to be made for your module to run successfully?</w:t>
      </w:r>
    </w:p>
    <w:p w14:paraId="70CEDB7F" w14:textId="7DCBD536" w:rsidR="00E30BEF" w:rsidRDefault="00E30BEF" w:rsidP="00E30BEF">
      <w:pPr>
        <w:pStyle w:val="ListParagraph"/>
        <w:numPr>
          <w:ilvl w:val="0"/>
          <w:numId w:val="3"/>
        </w:numPr>
      </w:pPr>
      <w:r>
        <w:t>What future support will be useful to mitigate these challenges?</w:t>
      </w:r>
    </w:p>
    <w:p w14:paraId="0FBF73BA" w14:textId="77777777" w:rsidR="00E30BEF" w:rsidRDefault="00E30BEF" w:rsidP="00E30BEF">
      <w:pPr>
        <w:pStyle w:val="ListParagraph"/>
        <w:ind w:left="1440"/>
      </w:pPr>
    </w:p>
    <w:p w14:paraId="02B7EA0C" w14:textId="6E5F526E" w:rsidR="00E30BEF" w:rsidRPr="00E30BEF" w:rsidRDefault="00E30BEF" w:rsidP="00E30BEF"/>
    <w:p w14:paraId="035A3311" w14:textId="77777777" w:rsidR="00E30BEF" w:rsidRDefault="00E30BEF" w:rsidP="00E30BEF">
      <w:pPr>
        <w:pStyle w:val="Heading2"/>
        <w:rPr>
          <w:color w:val="009DD9" w:themeColor="accent2"/>
        </w:rPr>
      </w:pPr>
    </w:p>
    <w:p w14:paraId="79158B40" w14:textId="77777777" w:rsidR="00E30BEF" w:rsidRDefault="00E30BEF" w:rsidP="00E30BEF">
      <w:pPr>
        <w:pStyle w:val="Heading2"/>
        <w:rPr>
          <w:color w:val="009DD9" w:themeColor="accent2"/>
        </w:rPr>
      </w:pPr>
    </w:p>
    <w:p w14:paraId="108DA8EB" w14:textId="044005AF" w:rsidR="00E30BEF" w:rsidRPr="00CF03BD" w:rsidRDefault="00E30BEF" w:rsidP="00E30BEF">
      <w:pPr>
        <w:pStyle w:val="Heading2"/>
        <w:rPr>
          <w:color w:val="009DD9" w:themeColor="accent2"/>
        </w:rPr>
      </w:pPr>
      <w:r w:rsidRPr="00CF03BD">
        <w:rPr>
          <w:color w:val="009DD9" w:themeColor="accent2"/>
        </w:rPr>
        <w:t>Slides 1</w:t>
      </w:r>
      <w:r w:rsidR="00D917AC" w:rsidRPr="00CF03BD">
        <w:rPr>
          <w:color w:val="009DD9" w:themeColor="accent2"/>
        </w:rPr>
        <w:t>3</w:t>
      </w:r>
      <w:r w:rsidRPr="00CF03BD">
        <w:rPr>
          <w:color w:val="009DD9" w:themeColor="accent2"/>
        </w:rPr>
        <w:t xml:space="preserve"> – 1</w:t>
      </w:r>
      <w:r w:rsidR="00BB4EF8" w:rsidRPr="00CF03BD">
        <w:rPr>
          <w:color w:val="009DD9" w:themeColor="accent2"/>
        </w:rPr>
        <w:t>7</w:t>
      </w:r>
      <w:r w:rsidRPr="00CF03BD">
        <w:rPr>
          <w:color w:val="009DD9" w:themeColor="accent2"/>
        </w:rPr>
        <w:t xml:space="preserve"> (Editing is needed)</w:t>
      </w:r>
    </w:p>
    <w:p w14:paraId="5C3AD2AE" w14:textId="193D1A6B" w:rsidR="00D84A90" w:rsidRDefault="00E30BEF" w:rsidP="00257998">
      <w:r>
        <w:t>This slide looks at key guidance elements from the Teaching and Learning document to consider when designing your approach.</w:t>
      </w:r>
    </w:p>
    <w:p w14:paraId="55BD9F25" w14:textId="03685632" w:rsidR="00E30BEF" w:rsidRDefault="00E30BEF" w:rsidP="00E30BEF">
      <w:r>
        <w:t xml:space="preserve">There are four different example conversions taken from the Teaching &amp; Learning document. </w:t>
      </w:r>
      <w:r>
        <w:rPr>
          <w:b/>
          <w:bCs/>
        </w:rPr>
        <w:t>Edit:</w:t>
      </w:r>
      <w:r>
        <w:t xml:space="preserve"> Remove any conversion models </w:t>
      </w:r>
      <w:r w:rsidR="00D84A90">
        <w:t>that are not</w:t>
      </w:r>
      <w:r>
        <w:t xml:space="preserve"> appropriate for your </w:t>
      </w:r>
      <w:r w:rsidR="00F30080">
        <w:t>Programme</w:t>
      </w:r>
    </w:p>
    <w:p w14:paraId="6BFFEDF3" w14:textId="663BE495" w:rsidR="00E30BEF" w:rsidRDefault="00E30BEF" w:rsidP="00E30BEF">
      <w:r>
        <w:t xml:space="preserve">Look through the example(s) and guidance elements and discuss with your team. </w:t>
      </w:r>
    </w:p>
    <w:p w14:paraId="22BD07D0" w14:textId="3DDA370C" w:rsidR="00E30BEF" w:rsidRPr="00CF03BD" w:rsidRDefault="00E30BEF" w:rsidP="00E30BEF">
      <w:pPr>
        <w:pStyle w:val="Heading2"/>
        <w:rPr>
          <w:color w:val="009DD9" w:themeColor="accent2"/>
        </w:rPr>
      </w:pPr>
      <w:r w:rsidRPr="00CF03BD">
        <w:rPr>
          <w:color w:val="009DD9" w:themeColor="accent2"/>
        </w:rPr>
        <w:t xml:space="preserve">Slide </w:t>
      </w:r>
      <w:r w:rsidR="00BB4EF8" w:rsidRPr="00CF03BD">
        <w:rPr>
          <w:color w:val="009DD9" w:themeColor="accent2"/>
        </w:rPr>
        <w:t>18</w:t>
      </w:r>
    </w:p>
    <w:p w14:paraId="3252E2F1" w14:textId="71DB25FD" w:rsidR="00E30BEF" w:rsidRDefault="00E30BEF" w:rsidP="00E30BEF">
      <w:r>
        <w:t xml:space="preserve">This slide looks at high level tasks i.e. pre-task, post-task, lecture, seminar. These </w:t>
      </w:r>
      <w:r w:rsidR="000D2B33">
        <w:t>high-level</w:t>
      </w:r>
      <w:r>
        <w:t xml:space="preserve"> activity elements can be</w:t>
      </w:r>
      <w:r w:rsidR="000D2B33">
        <w:t xml:space="preserve"> used as a starting point to support your discussion and can be</w:t>
      </w:r>
      <w:r>
        <w:t xml:space="preserve"> mixed to create an approach for your team. </w:t>
      </w:r>
      <w:r w:rsidR="002222FC">
        <w:t>This slide also shows an example learning structure using these elements</w:t>
      </w:r>
    </w:p>
    <w:p w14:paraId="1A15127B" w14:textId="6AED56D6" w:rsidR="00E30BEF" w:rsidRDefault="00E30BEF" w:rsidP="00E30BEF">
      <w:r>
        <w:rPr>
          <w:b/>
          <w:bCs/>
        </w:rPr>
        <w:t xml:space="preserve">It is important to note that you can add your own </w:t>
      </w:r>
      <w:r w:rsidR="00D311CF">
        <w:rPr>
          <w:b/>
          <w:bCs/>
        </w:rPr>
        <w:t>high-level</w:t>
      </w:r>
      <w:r>
        <w:rPr>
          <w:b/>
          <w:bCs/>
        </w:rPr>
        <w:t xml:space="preserve"> task suitable to </w:t>
      </w:r>
      <w:r w:rsidR="00D311CF">
        <w:rPr>
          <w:b/>
          <w:bCs/>
        </w:rPr>
        <w:t>needs of the Programme</w:t>
      </w:r>
      <w:r w:rsidR="00DD4817">
        <w:t xml:space="preserve">. </w:t>
      </w:r>
    </w:p>
    <w:p w14:paraId="168C3FD8" w14:textId="6CB67C3E" w:rsidR="0085151D" w:rsidRDefault="0085151D" w:rsidP="0085151D">
      <w:pPr>
        <w:pStyle w:val="Heading2"/>
        <w:rPr>
          <w:color w:val="009DD9" w:themeColor="accent2"/>
        </w:rPr>
      </w:pPr>
      <w:r w:rsidRPr="00CF03BD">
        <w:rPr>
          <w:color w:val="009DD9" w:themeColor="accent2"/>
        </w:rPr>
        <w:t>Slide 1</w:t>
      </w:r>
      <w:r>
        <w:rPr>
          <w:color w:val="009DD9" w:themeColor="accent2"/>
        </w:rPr>
        <w:t>9</w:t>
      </w:r>
    </w:p>
    <w:p w14:paraId="2FC9384E" w14:textId="5581E3D3" w:rsidR="00DD4817" w:rsidRPr="00DD4817" w:rsidRDefault="00DD4817" w:rsidP="00DD4817">
      <w:r>
        <w:t>The questions below compliment and expand from the questions in the presentation.</w:t>
      </w:r>
    </w:p>
    <w:p w14:paraId="54227C6D" w14:textId="2B807F6A" w:rsidR="002222FC" w:rsidRDefault="002222FC" w:rsidP="002222FC">
      <w:pPr>
        <w:pStyle w:val="Heading2"/>
      </w:pPr>
      <w:r>
        <w:t>Key Questions</w:t>
      </w:r>
    </w:p>
    <w:p w14:paraId="7BA4D125" w14:textId="68C77D7A" w:rsidR="002222FC" w:rsidRDefault="0085151D" w:rsidP="002222FC">
      <w:pPr>
        <w:pStyle w:val="ListParagraph"/>
        <w:numPr>
          <w:ilvl w:val="0"/>
          <w:numId w:val="4"/>
        </w:numPr>
      </w:pPr>
      <w:r>
        <w:t>What structure will you apply to online lectures?</w:t>
      </w:r>
    </w:p>
    <w:p w14:paraId="482591E7" w14:textId="60FB0CEA" w:rsidR="0085151D" w:rsidRDefault="0085151D" w:rsidP="002222FC">
      <w:pPr>
        <w:pStyle w:val="ListParagraph"/>
        <w:numPr>
          <w:ilvl w:val="0"/>
          <w:numId w:val="4"/>
        </w:numPr>
      </w:pPr>
      <w:r>
        <w:t>Do lectures need to be segmented with blended learning activities?</w:t>
      </w:r>
    </w:p>
    <w:p w14:paraId="1A2B4C2B" w14:textId="2EC4C490" w:rsidR="0085151D" w:rsidRDefault="0085151D" w:rsidP="002222FC">
      <w:pPr>
        <w:pStyle w:val="ListParagraph"/>
        <w:numPr>
          <w:ilvl w:val="0"/>
          <w:numId w:val="4"/>
        </w:numPr>
      </w:pPr>
      <w:r>
        <w:t>How will seminars be delivered?</w:t>
      </w:r>
    </w:p>
    <w:p w14:paraId="4DB58C6C" w14:textId="3C8A9F72" w:rsidR="0085151D" w:rsidRDefault="0085151D" w:rsidP="002222FC">
      <w:pPr>
        <w:pStyle w:val="ListParagraph"/>
        <w:numPr>
          <w:ilvl w:val="0"/>
          <w:numId w:val="4"/>
        </w:numPr>
      </w:pPr>
      <w:r>
        <w:t>How will personal tutoring enable student development and 1:1 support?</w:t>
      </w:r>
    </w:p>
    <w:p w14:paraId="2D13B913" w14:textId="0CEA323C" w:rsidR="0085151D" w:rsidRDefault="00DD676A" w:rsidP="002222FC">
      <w:pPr>
        <w:pStyle w:val="ListParagraph"/>
        <w:numPr>
          <w:ilvl w:val="0"/>
          <w:numId w:val="4"/>
        </w:numPr>
      </w:pPr>
      <w:r>
        <w:t>Will you interact with your students through</w:t>
      </w:r>
      <w:r w:rsidR="00D17CDB">
        <w:t xml:space="preserve"> synchronous (live), asynchronous (pre-recorded)</w:t>
      </w:r>
      <w:r>
        <w:t xml:space="preserve"> activities or a mix of the two?</w:t>
      </w:r>
    </w:p>
    <w:p w14:paraId="0F95D475" w14:textId="3CDCB092" w:rsidR="00A122FA" w:rsidRDefault="00DD4817" w:rsidP="002222FC">
      <w:pPr>
        <w:pStyle w:val="ListParagraph"/>
        <w:numPr>
          <w:ilvl w:val="0"/>
          <w:numId w:val="4"/>
        </w:numPr>
      </w:pPr>
      <w:r>
        <w:t>What key feedback points will be available?</w:t>
      </w:r>
    </w:p>
    <w:p w14:paraId="796E9FA3" w14:textId="4A2F19F9" w:rsidR="00C601EB" w:rsidRDefault="00C86ADB" w:rsidP="002222FC">
      <w:pPr>
        <w:pStyle w:val="ListParagraph"/>
        <w:numPr>
          <w:ilvl w:val="0"/>
          <w:numId w:val="4"/>
        </w:numPr>
      </w:pPr>
      <w:r>
        <w:t>How will students be supported for assessment and learning outcomes?</w:t>
      </w:r>
    </w:p>
    <w:p w14:paraId="0C043436" w14:textId="4D9B4499" w:rsidR="00C86ADB" w:rsidRDefault="005C34E6" w:rsidP="002222FC">
      <w:pPr>
        <w:pStyle w:val="ListParagraph"/>
        <w:numPr>
          <w:ilvl w:val="0"/>
          <w:numId w:val="4"/>
        </w:numPr>
      </w:pPr>
      <w:r>
        <w:t>Will you run digital office hours?</w:t>
      </w:r>
    </w:p>
    <w:p w14:paraId="6DCC684D" w14:textId="2886CF2C" w:rsidR="005C34E6" w:rsidRDefault="005C34E6" w:rsidP="005C34E6">
      <w:pPr>
        <w:pStyle w:val="ListParagraph"/>
        <w:numPr>
          <w:ilvl w:val="0"/>
          <w:numId w:val="4"/>
        </w:numPr>
      </w:pPr>
      <w:r>
        <w:t>How will you set expectations for students?</w:t>
      </w:r>
    </w:p>
    <w:p w14:paraId="62743C95" w14:textId="6F67A6BE" w:rsidR="002222FC" w:rsidRPr="002222FC" w:rsidRDefault="005C34E6" w:rsidP="002222FC">
      <w:pPr>
        <w:pStyle w:val="ListParagraph"/>
        <w:numPr>
          <w:ilvl w:val="0"/>
          <w:numId w:val="4"/>
        </w:numPr>
      </w:pPr>
      <w:r>
        <w:t>What key activities will you need for this approach?</w:t>
      </w:r>
    </w:p>
    <w:p w14:paraId="7B3A80BF" w14:textId="1A4F75C8" w:rsidR="009D61B0" w:rsidRDefault="009D61B0" w:rsidP="009D61B0">
      <w:pPr>
        <w:pStyle w:val="Heading2"/>
      </w:pPr>
      <w:r w:rsidRPr="00CF03BD">
        <w:rPr>
          <w:color w:val="009DD9" w:themeColor="accent2"/>
        </w:rPr>
        <w:t>Output:</w:t>
      </w:r>
      <w:r w:rsidRPr="00CF03BD">
        <w:rPr>
          <w:b/>
          <w:bCs/>
          <w:color w:val="009DD9" w:themeColor="accent2"/>
        </w:rPr>
        <w:t xml:space="preserve"> </w:t>
      </w:r>
      <w:r>
        <w:t>An agreed approach for your Programme that you would like to apply to a module</w:t>
      </w:r>
    </w:p>
    <w:p w14:paraId="465E5068" w14:textId="7173B7CD" w:rsidR="003767ED" w:rsidRPr="003767ED" w:rsidRDefault="00EC1B04" w:rsidP="00EB0184">
      <w:pPr>
        <w:pStyle w:val="Heading2"/>
      </w:pPr>
      <w:r w:rsidRPr="00CF03BD">
        <w:rPr>
          <w:color w:val="009DD9" w:themeColor="accent2"/>
        </w:rPr>
        <w:t xml:space="preserve">Output: </w:t>
      </w:r>
      <w:r w:rsidR="008F3018">
        <w:t>A module has been chosen that you would like to trail the approach with</w:t>
      </w:r>
      <w:bookmarkStart w:id="0" w:name="_GoBack"/>
      <w:bookmarkEnd w:id="0"/>
    </w:p>
    <w:p w14:paraId="2EC0942E" w14:textId="2A4E3730" w:rsidR="00EB0184" w:rsidRDefault="006D213B" w:rsidP="00EB0184">
      <w:r>
        <w:t>Phase</w:t>
      </w:r>
      <w:r w:rsidR="003B3C99">
        <w:t xml:space="preserve"> </w:t>
      </w:r>
      <w:r>
        <w:t>1.</w:t>
      </w:r>
      <w:r w:rsidR="003B3C99">
        <w:t xml:space="preserve">2 completed Move to </w:t>
      </w:r>
      <w:r>
        <w:t>Phase</w:t>
      </w:r>
      <w:r w:rsidR="003B3C99">
        <w:t xml:space="preserve"> </w:t>
      </w:r>
      <w:r w:rsidR="00EB0184">
        <w:t>2.1:</w:t>
      </w:r>
      <w:r w:rsidR="003B3C99">
        <w:t xml:space="preserve"> Module Approach Example Created</w:t>
      </w:r>
    </w:p>
    <w:p w14:paraId="54F458FD" w14:textId="0C9E44C3" w:rsidR="006B01A2" w:rsidRPr="00A8386A" w:rsidRDefault="006B01A2" w:rsidP="00EB0184">
      <w:r>
        <w:t>Please Contact</w:t>
      </w:r>
      <w:r w:rsidRPr="00CF03BD">
        <w:rPr>
          <w:color w:val="009DD9" w:themeColor="accent2"/>
        </w:rPr>
        <w:t xml:space="preserve"> </w:t>
      </w:r>
      <w:hyperlink r:id="rId10" w:history="1">
        <w:r w:rsidRPr="00CF03BD">
          <w:rPr>
            <w:rStyle w:val="Hyperlink"/>
            <w:color w:val="009DD9" w:themeColor="accent2"/>
          </w:rPr>
          <w:t>Digitaleducation@lincoln.ac.uk</w:t>
        </w:r>
      </w:hyperlink>
      <w:r w:rsidRPr="006B01A2">
        <w:rPr>
          <w:color w:val="00B0F0"/>
        </w:rPr>
        <w:t xml:space="preserve"> </w:t>
      </w:r>
      <w:r>
        <w:t xml:space="preserve">if you would like support with this </w:t>
      </w:r>
      <w:r w:rsidR="00D84A90">
        <w:t>phase.</w:t>
      </w:r>
    </w:p>
    <w:sectPr w:rsidR="006B01A2" w:rsidRPr="00A8386A" w:rsidSect="00A66B18">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5F0A" w14:textId="77777777" w:rsidR="005831D3" w:rsidRDefault="005831D3" w:rsidP="00A66B18">
      <w:pPr>
        <w:spacing w:before="0" w:after="0"/>
      </w:pPr>
      <w:r>
        <w:separator/>
      </w:r>
    </w:p>
  </w:endnote>
  <w:endnote w:type="continuationSeparator" w:id="0">
    <w:p w14:paraId="4D6E6BBC" w14:textId="77777777" w:rsidR="005831D3" w:rsidRDefault="005831D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DB92" w14:textId="77777777" w:rsidR="005831D3" w:rsidRDefault="005831D3" w:rsidP="00A66B18">
      <w:pPr>
        <w:spacing w:before="0" w:after="0"/>
      </w:pPr>
      <w:r>
        <w:separator/>
      </w:r>
    </w:p>
  </w:footnote>
  <w:footnote w:type="continuationSeparator" w:id="0">
    <w:p w14:paraId="597E5B07" w14:textId="77777777" w:rsidR="005831D3" w:rsidRDefault="005831D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4CF7" w14:textId="2DFC89A4" w:rsidR="00A66B18" w:rsidRDefault="00BA0444">
    <w:pPr>
      <w:pStyle w:val="Header"/>
    </w:pPr>
    <w:r>
      <w:rPr>
        <w:rFonts w:ascii="Georgia" w:hAnsi="Georgia"/>
        <w:noProof/>
        <w:color w:val="000000" w:themeColor="text1"/>
      </w:rPr>
      <w:drawing>
        <wp:anchor distT="0" distB="0" distL="114300" distR="114300" simplePos="0" relativeHeight="251662336" behindDoc="0" locked="0" layoutInCell="1" allowOverlap="1" wp14:anchorId="1492A235" wp14:editId="4C391246">
          <wp:simplePos x="0" y="0"/>
          <wp:positionH relativeFrom="column">
            <wp:posOffset>6457950</wp:posOffset>
          </wp:positionH>
          <wp:positionV relativeFrom="paragraph">
            <wp:posOffset>-393700</wp:posOffset>
          </wp:positionV>
          <wp:extent cx="752475" cy="761365"/>
          <wp:effectExtent l="0" t="0" r="9525" b="635"/>
          <wp:wrapThrough wrapText="bothSides">
            <wp:wrapPolygon edited="0">
              <wp:start x="9296" y="0"/>
              <wp:lineTo x="4375" y="1621"/>
              <wp:lineTo x="2734" y="4324"/>
              <wp:lineTo x="2734" y="9728"/>
              <wp:lineTo x="547" y="15133"/>
              <wp:lineTo x="0" y="21078"/>
              <wp:lineTo x="21327" y="21078"/>
              <wp:lineTo x="20780" y="15133"/>
              <wp:lineTo x="18592" y="9728"/>
              <wp:lineTo x="19139" y="5405"/>
              <wp:lineTo x="16952" y="2162"/>
              <wp:lineTo x="12577" y="0"/>
              <wp:lineTo x="929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18E" w:rsidRPr="006A718E">
      <w:t xml:space="preserve"> </w:t>
    </w:r>
    <w:r w:rsidR="00BA60D8">
      <w:rPr>
        <w:noProof/>
      </w:rPr>
      <mc:AlternateContent>
        <mc:Choice Requires="wps">
          <w:drawing>
            <wp:anchor distT="45720" distB="45720" distL="114300" distR="114300" simplePos="0" relativeHeight="251661312" behindDoc="0" locked="0" layoutInCell="1" allowOverlap="1" wp14:anchorId="77F4015A" wp14:editId="568C7AB5">
              <wp:simplePos x="0" y="0"/>
              <wp:positionH relativeFrom="column">
                <wp:posOffset>-769273</wp:posOffset>
              </wp:positionH>
              <wp:positionV relativeFrom="paragraph">
                <wp:posOffset>-173470</wp:posOffset>
              </wp:positionV>
              <wp:extent cx="478663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1404620"/>
                      </a:xfrm>
                      <a:prstGeom prst="rect">
                        <a:avLst/>
                      </a:prstGeom>
                      <a:noFill/>
                      <a:ln w="9525">
                        <a:noFill/>
                        <a:miter lim="800000"/>
                        <a:headEnd/>
                        <a:tailEnd/>
                      </a:ln>
                    </wps:spPr>
                    <wps:txbx>
                      <w:txbxContent>
                        <w:p w14:paraId="275753F7" w14:textId="24F2819B" w:rsidR="00BA60D8" w:rsidRPr="00BA60D8" w:rsidRDefault="00BA60D8">
                          <w:pPr>
                            <w:rPr>
                              <w:color w:val="FFFFFF" w:themeColor="background1"/>
                              <w:sz w:val="48"/>
                              <w:szCs w:val="40"/>
                            </w:rPr>
                          </w:pPr>
                          <w:r w:rsidRPr="00BA60D8">
                            <w:rPr>
                              <w:color w:val="FFFFFF" w:themeColor="background1"/>
                              <w:sz w:val="48"/>
                              <w:szCs w:val="40"/>
                            </w:rPr>
                            <w:t>ADAPT</w:t>
                          </w:r>
                          <w:r>
                            <w:rPr>
                              <w:color w:val="FFFFFF" w:themeColor="background1"/>
                              <w:sz w:val="48"/>
                              <w:szCs w:val="40"/>
                            </w:rPr>
                            <w:t xml:space="preserve"> &amp; ENABLE</w:t>
                          </w:r>
                          <w:r w:rsidRPr="00BA60D8">
                            <w:rPr>
                              <w:color w:val="FFFFFF" w:themeColor="background1"/>
                              <w:sz w:val="48"/>
                              <w:szCs w:val="40"/>
                            </w:rPr>
                            <w:t xml:space="preserve">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4015A" id="_x0000_t202" coordsize="21600,21600" o:spt="202" path="m,l,21600r21600,l21600,xe">
              <v:stroke joinstyle="miter"/>
              <v:path gradientshapeok="t" o:connecttype="rect"/>
            </v:shapetype>
            <v:shape id="Text Box 2" o:spid="_x0000_s1026" type="#_x0000_t202" style="position:absolute;left:0;text-align:left;margin-left:-60.55pt;margin-top:-13.65pt;width:376.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SZDw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" filled="f" stroked="f">
              <v:textbox style="mso-fit-shape-to-text:t">
                <w:txbxContent>
                  <w:p w14:paraId="275753F7" w14:textId="24F2819B" w:rsidR="00BA60D8" w:rsidRPr="00BA60D8" w:rsidRDefault="00BA60D8">
                    <w:pPr>
                      <w:rPr>
                        <w:color w:val="FFFFFF" w:themeColor="background1"/>
                        <w:sz w:val="48"/>
                        <w:szCs w:val="40"/>
                      </w:rPr>
                    </w:pPr>
                    <w:r w:rsidRPr="00BA60D8">
                      <w:rPr>
                        <w:color w:val="FFFFFF" w:themeColor="background1"/>
                        <w:sz w:val="48"/>
                        <w:szCs w:val="40"/>
                      </w:rPr>
                      <w:t>ADAPT</w:t>
                    </w:r>
                    <w:r>
                      <w:rPr>
                        <w:color w:val="FFFFFF" w:themeColor="background1"/>
                        <w:sz w:val="48"/>
                        <w:szCs w:val="40"/>
                      </w:rPr>
                      <w:t xml:space="preserve"> &amp; ENABLE</w:t>
                    </w:r>
                    <w:r w:rsidRPr="00BA60D8">
                      <w:rPr>
                        <w:color w:val="FFFFFF" w:themeColor="background1"/>
                        <w:sz w:val="48"/>
                        <w:szCs w:val="40"/>
                      </w:rPr>
                      <w:t xml:space="preserve"> PROCESS</w:t>
                    </w:r>
                  </w:p>
                </w:txbxContent>
              </v:textbox>
              <w10:wrap type="square"/>
            </v:shape>
          </w:pict>
        </mc:Fallback>
      </mc:AlternateContent>
    </w:r>
    <w:r w:rsidR="00BA60D8">
      <w:rPr>
        <w:noProof/>
      </w:rPr>
      <mc:AlternateContent>
        <mc:Choice Requires="wps">
          <w:drawing>
            <wp:anchor distT="0" distB="0" distL="114300" distR="114300" simplePos="0" relativeHeight="251659264" behindDoc="0" locked="0" layoutInCell="1" allowOverlap="1" wp14:anchorId="3BBCE2C4" wp14:editId="23827592">
              <wp:simplePos x="0" y="0"/>
              <wp:positionH relativeFrom="page">
                <wp:align>left</wp:align>
              </wp:positionH>
              <wp:positionV relativeFrom="paragraph">
                <wp:posOffset>-762000</wp:posOffset>
              </wp:positionV>
              <wp:extent cx="8638309" cy="1226127"/>
              <wp:effectExtent l="0" t="0" r="10795" b="12700"/>
              <wp:wrapNone/>
              <wp:docPr id="1" name="Rectangle 1"/>
              <wp:cNvGraphicFramePr/>
              <a:graphic xmlns:a="http://schemas.openxmlformats.org/drawingml/2006/main">
                <a:graphicData uri="http://schemas.microsoft.com/office/word/2010/wordprocessingShape">
                  <wps:wsp>
                    <wps:cNvSpPr/>
                    <wps:spPr>
                      <a:xfrm>
                        <a:off x="0" y="0"/>
                        <a:ext cx="8638309" cy="12261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C993A" id="Rectangle 1" o:spid="_x0000_s1026" style="position:absolute;margin-left:0;margin-top:-60pt;width:680.2pt;height:96.5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" fillcolor="#17406d [3204]" strokecolor="#0b1f36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414C8"/>
    <w:multiLevelType w:val="hybridMultilevel"/>
    <w:tmpl w:val="D80E3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9011C04"/>
    <w:multiLevelType w:val="hybridMultilevel"/>
    <w:tmpl w:val="F814B27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59E9081A"/>
    <w:multiLevelType w:val="hybridMultilevel"/>
    <w:tmpl w:val="E9DE9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724FED"/>
    <w:multiLevelType w:val="hybridMultilevel"/>
    <w:tmpl w:val="0C440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D8"/>
    <w:rsid w:val="00027D4C"/>
    <w:rsid w:val="00083BAA"/>
    <w:rsid w:val="000D2B33"/>
    <w:rsid w:val="000E406E"/>
    <w:rsid w:val="0010680C"/>
    <w:rsid w:val="00152B0B"/>
    <w:rsid w:val="001766D6"/>
    <w:rsid w:val="00192419"/>
    <w:rsid w:val="001B28EE"/>
    <w:rsid w:val="001C270D"/>
    <w:rsid w:val="001E2320"/>
    <w:rsid w:val="00214E28"/>
    <w:rsid w:val="002222FC"/>
    <w:rsid w:val="00257998"/>
    <w:rsid w:val="002761C0"/>
    <w:rsid w:val="002D1809"/>
    <w:rsid w:val="003460D8"/>
    <w:rsid w:val="00352B81"/>
    <w:rsid w:val="003767ED"/>
    <w:rsid w:val="00394757"/>
    <w:rsid w:val="003A0150"/>
    <w:rsid w:val="003B3C99"/>
    <w:rsid w:val="003C0264"/>
    <w:rsid w:val="003E24DF"/>
    <w:rsid w:val="0041428F"/>
    <w:rsid w:val="004721EB"/>
    <w:rsid w:val="004A2B0D"/>
    <w:rsid w:val="00546592"/>
    <w:rsid w:val="005831D3"/>
    <w:rsid w:val="005A4942"/>
    <w:rsid w:val="005B3DB8"/>
    <w:rsid w:val="005C2210"/>
    <w:rsid w:val="005C34E6"/>
    <w:rsid w:val="00615018"/>
    <w:rsid w:val="0062123A"/>
    <w:rsid w:val="00627467"/>
    <w:rsid w:val="00646E75"/>
    <w:rsid w:val="00682D2D"/>
    <w:rsid w:val="00697628"/>
    <w:rsid w:val="006A718E"/>
    <w:rsid w:val="006B01A2"/>
    <w:rsid w:val="006D213B"/>
    <w:rsid w:val="006F6F10"/>
    <w:rsid w:val="00783E79"/>
    <w:rsid w:val="007B5AE8"/>
    <w:rsid w:val="007C3B0E"/>
    <w:rsid w:val="007F5192"/>
    <w:rsid w:val="008320FB"/>
    <w:rsid w:val="0085151D"/>
    <w:rsid w:val="00862369"/>
    <w:rsid w:val="008E08F9"/>
    <w:rsid w:val="008F3018"/>
    <w:rsid w:val="009D61B0"/>
    <w:rsid w:val="009E768C"/>
    <w:rsid w:val="00A122FA"/>
    <w:rsid w:val="00A26FE7"/>
    <w:rsid w:val="00A66B18"/>
    <w:rsid w:val="00A6783B"/>
    <w:rsid w:val="00A8386A"/>
    <w:rsid w:val="00A96CF8"/>
    <w:rsid w:val="00AA089B"/>
    <w:rsid w:val="00AE1388"/>
    <w:rsid w:val="00AF3982"/>
    <w:rsid w:val="00B50294"/>
    <w:rsid w:val="00B57D6E"/>
    <w:rsid w:val="00BA0444"/>
    <w:rsid w:val="00BA60D8"/>
    <w:rsid w:val="00BB4EF8"/>
    <w:rsid w:val="00BF33AC"/>
    <w:rsid w:val="00C15C3C"/>
    <w:rsid w:val="00C601EB"/>
    <w:rsid w:val="00C701F7"/>
    <w:rsid w:val="00C70786"/>
    <w:rsid w:val="00C86ADB"/>
    <w:rsid w:val="00CA4103"/>
    <w:rsid w:val="00CC092E"/>
    <w:rsid w:val="00CF03BD"/>
    <w:rsid w:val="00D10958"/>
    <w:rsid w:val="00D17CDB"/>
    <w:rsid w:val="00D311CF"/>
    <w:rsid w:val="00D66593"/>
    <w:rsid w:val="00D84A90"/>
    <w:rsid w:val="00D917AC"/>
    <w:rsid w:val="00DD4817"/>
    <w:rsid w:val="00DD676A"/>
    <w:rsid w:val="00DE6DA2"/>
    <w:rsid w:val="00DF2D30"/>
    <w:rsid w:val="00E30BEF"/>
    <w:rsid w:val="00E4786A"/>
    <w:rsid w:val="00E55D74"/>
    <w:rsid w:val="00E6540C"/>
    <w:rsid w:val="00E81E2A"/>
    <w:rsid w:val="00EB0184"/>
    <w:rsid w:val="00EC1B04"/>
    <w:rsid w:val="00EE0952"/>
    <w:rsid w:val="00F3008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31F0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NoSpacing">
    <w:name w:val="No Spacing"/>
    <w:uiPriority w:val="1"/>
    <w:qFormat/>
    <w:rsid w:val="00BA60D8"/>
    <w:pPr>
      <w:ind w:left="720" w:right="720"/>
    </w:pPr>
    <w:rPr>
      <w:rFonts w:eastAsiaTheme="minorHAnsi"/>
      <w:color w:val="595959" w:themeColor="text1" w:themeTint="A6"/>
      <w:kern w:val="20"/>
      <w:szCs w:val="20"/>
    </w:rPr>
  </w:style>
  <w:style w:type="paragraph" w:styleId="Title">
    <w:name w:val="Title"/>
    <w:basedOn w:val="Normal"/>
    <w:next w:val="Normal"/>
    <w:link w:val="TitleChar"/>
    <w:uiPriority w:val="10"/>
    <w:qFormat/>
    <w:rsid w:val="00BA60D8"/>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A60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semiHidden/>
    <w:rsid w:val="00BA60D8"/>
    <w:pPr>
      <w:contextualSpacing/>
    </w:pPr>
  </w:style>
  <w:style w:type="character" w:styleId="Hyperlink">
    <w:name w:val="Hyperlink"/>
    <w:basedOn w:val="DefaultParagraphFont"/>
    <w:uiPriority w:val="99"/>
    <w:unhideWhenUsed/>
    <w:rsid w:val="006B01A2"/>
    <w:rPr>
      <w:color w:val="F49100" w:themeColor="hyperlink"/>
      <w:u w:val="single"/>
    </w:rPr>
  </w:style>
  <w:style w:type="character" w:styleId="UnresolvedMention">
    <w:name w:val="Unresolved Mention"/>
    <w:basedOn w:val="DefaultParagraphFont"/>
    <w:uiPriority w:val="99"/>
    <w:semiHidden/>
    <w:rsid w:val="006B0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igitaleducation@lincoln.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ak\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a9a29d63-812f-4145-83a1-e43f6c04b4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E7F4767BDDC498D1802130351DD2F" ma:contentTypeVersion="11" ma:contentTypeDescription="Create a new document." ma:contentTypeScope="" ma:versionID="8954d2f6a8bdf4005df1740faafa2df9">
  <xsd:schema xmlns:xsd="http://www.w3.org/2001/XMLSchema" xmlns:xs="http://www.w3.org/2001/XMLSchema" xmlns:p="http://schemas.microsoft.com/office/2006/metadata/properties" xmlns:ns2="a9a29d63-812f-4145-83a1-e43f6c04b46c" xmlns:ns3="b2103a72-b3cf-41f3-badc-ace958d9af82" targetNamespace="http://schemas.microsoft.com/office/2006/metadata/properties" ma:root="true" ma:fieldsID="7972b3e678126206159c7b5632e2c705" ns2:_="" ns3:_="">
    <xsd:import namespace="a9a29d63-812f-4145-83a1-e43f6c04b46c"/>
    <xsd:import namespace="b2103a72-b3cf-41f3-badc-ace958d9af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29d63-812f-4145-83a1-e43f6c04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03a72-b3cf-41f3-badc-ace958d9af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a9a29d63-812f-4145-83a1-e43f6c04b46c"/>
  </ds:schemaRefs>
</ds:datastoreItem>
</file>

<file path=customXml/itemProps3.xml><?xml version="1.0" encoding="utf-8"?>
<ds:datastoreItem xmlns:ds="http://schemas.openxmlformats.org/officeDocument/2006/customXml" ds:itemID="{31209F9B-CE40-498E-8305-CC42FBB87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29d63-812f-4145-83a1-e43f6c04b46c"/>
    <ds:schemaRef ds:uri="b2103a72-b3cf-41f3-badc-ace958d9a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3</Pages>
  <Words>625</Words>
  <Characters>3514</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2020-06-04T18:00:00Z</dcterms:created>
  <dcterms:modified xsi:type="dcterms:W3CDTF">2020-06-04T18:01:00Z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0x010100157E7F4767BDDC498D1802130351DD2F</vt:lpwstr>
  </property>
</Properties>
</file>